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319C7" w14:textId="50970B24" w:rsidR="0069426F" w:rsidRPr="000A0973" w:rsidRDefault="001465AF" w:rsidP="000A0973">
      <w:pPr>
        <w:tabs>
          <w:tab w:val="left" w:pos="8023"/>
        </w:tabs>
        <w:ind w:left="100"/>
        <w:rPr>
          <w:b/>
        </w:rPr>
      </w:pPr>
      <w:r w:rsidRPr="000A0973">
        <w:rPr>
          <w:b/>
        </w:rPr>
        <w:t>CENWP-OD-</w:t>
      </w:r>
      <w:r w:rsidR="00455395" w:rsidRPr="000A0973">
        <w:rPr>
          <w:b/>
        </w:rPr>
        <w:t>B</w:t>
      </w:r>
      <w:r w:rsidRPr="000A0973">
        <w:rPr>
          <w:b/>
        </w:rPr>
        <w:tab/>
      </w:r>
      <w:r w:rsidR="00956522" w:rsidRPr="000A0973">
        <w:rPr>
          <w:b/>
        </w:rPr>
        <w:t>1</w:t>
      </w:r>
      <w:r w:rsidR="000A0973">
        <w:rPr>
          <w:b/>
        </w:rPr>
        <w:t>5</w:t>
      </w:r>
      <w:r w:rsidR="00956522" w:rsidRPr="000A0973">
        <w:rPr>
          <w:b/>
        </w:rPr>
        <w:t xml:space="preserve"> </w:t>
      </w:r>
      <w:r w:rsidR="00455395" w:rsidRPr="000A0973">
        <w:rPr>
          <w:b/>
        </w:rPr>
        <w:t>May</w:t>
      </w:r>
      <w:r w:rsidR="00956522" w:rsidRPr="000A0973">
        <w:rPr>
          <w:b/>
        </w:rPr>
        <w:t xml:space="preserve"> </w:t>
      </w:r>
      <w:r w:rsidR="00455395" w:rsidRPr="000A0973">
        <w:rPr>
          <w:b/>
        </w:rPr>
        <w:t>2023</w:t>
      </w:r>
    </w:p>
    <w:p w14:paraId="13D0BA17" w14:textId="77777777" w:rsidR="0069426F" w:rsidRPr="000A0973" w:rsidRDefault="0069426F" w:rsidP="000A0973">
      <w:pPr>
        <w:pStyle w:val="BodyText"/>
        <w:rPr>
          <w:b/>
          <w:sz w:val="22"/>
          <w:szCs w:val="22"/>
        </w:rPr>
      </w:pPr>
    </w:p>
    <w:p w14:paraId="497FD32E" w14:textId="71F3C205" w:rsidR="0069426F" w:rsidRPr="000A0973" w:rsidRDefault="001465AF" w:rsidP="000A0973">
      <w:pPr>
        <w:ind w:left="100"/>
        <w:rPr>
          <w:b/>
        </w:rPr>
      </w:pPr>
      <w:r w:rsidRPr="000A0973">
        <w:rPr>
          <w:b/>
        </w:rPr>
        <w:t>MEMORANDUM</w:t>
      </w:r>
      <w:r w:rsidRPr="000A0973">
        <w:rPr>
          <w:b/>
          <w:spacing w:val="-4"/>
        </w:rPr>
        <w:t xml:space="preserve"> </w:t>
      </w:r>
      <w:r w:rsidRPr="000A0973">
        <w:rPr>
          <w:b/>
        </w:rPr>
        <w:t>FOR</w:t>
      </w:r>
      <w:r w:rsidRPr="000A0973">
        <w:rPr>
          <w:b/>
          <w:spacing w:val="-1"/>
        </w:rPr>
        <w:t xml:space="preserve"> </w:t>
      </w:r>
      <w:r w:rsidRPr="000A0973">
        <w:rPr>
          <w:b/>
        </w:rPr>
        <w:t>THE</w:t>
      </w:r>
      <w:r w:rsidRPr="000A0973">
        <w:rPr>
          <w:b/>
          <w:spacing w:val="-2"/>
        </w:rPr>
        <w:t xml:space="preserve"> </w:t>
      </w:r>
      <w:r w:rsidRPr="000A0973">
        <w:rPr>
          <w:b/>
        </w:rPr>
        <w:t>RECORD</w:t>
      </w:r>
      <w:r w:rsidRPr="000A0973">
        <w:rPr>
          <w:b/>
          <w:spacing w:val="4"/>
        </w:rPr>
        <w:t xml:space="preserve"> </w:t>
      </w:r>
    </w:p>
    <w:p w14:paraId="47D568D9" w14:textId="77777777" w:rsidR="0069426F" w:rsidRPr="000A0973" w:rsidRDefault="0069426F" w:rsidP="000A0973">
      <w:pPr>
        <w:pStyle w:val="BodyText"/>
        <w:rPr>
          <w:b/>
          <w:sz w:val="22"/>
          <w:szCs w:val="22"/>
        </w:rPr>
      </w:pPr>
    </w:p>
    <w:p w14:paraId="61241E34" w14:textId="3BD564A6" w:rsidR="0069426F" w:rsidRPr="000A0973" w:rsidRDefault="001465AF" w:rsidP="000A0973">
      <w:pPr>
        <w:ind w:left="100"/>
        <w:rPr>
          <w:b/>
        </w:rPr>
      </w:pPr>
      <w:r w:rsidRPr="000A0973">
        <w:rPr>
          <w:b/>
        </w:rPr>
        <w:t>SUBJECT:</w:t>
      </w:r>
      <w:r w:rsidRPr="000A0973">
        <w:rPr>
          <w:b/>
          <w:spacing w:val="-2"/>
        </w:rPr>
        <w:t xml:space="preserve"> </w:t>
      </w:r>
      <w:r w:rsidR="00956522" w:rsidRPr="000A0973">
        <w:rPr>
          <w:b/>
        </w:rPr>
        <w:t>23BON</w:t>
      </w:r>
      <w:r w:rsidR="000A0973">
        <w:rPr>
          <w:b/>
        </w:rPr>
        <w:t>019</w:t>
      </w:r>
      <w:r w:rsidR="00956522" w:rsidRPr="000A0973">
        <w:rPr>
          <w:b/>
        </w:rPr>
        <w:t xml:space="preserve"> U11</w:t>
      </w:r>
      <w:r w:rsidR="000A0973">
        <w:rPr>
          <w:b/>
        </w:rPr>
        <w:t>/</w:t>
      </w:r>
      <w:r w:rsidR="00956522" w:rsidRPr="000A0973">
        <w:rPr>
          <w:b/>
        </w:rPr>
        <w:t>12 Hydraulic Valve Repair</w:t>
      </w:r>
    </w:p>
    <w:p w14:paraId="41A794C5" w14:textId="77777777" w:rsidR="0069426F" w:rsidRPr="000A0973" w:rsidRDefault="0069426F" w:rsidP="000A0973">
      <w:pPr>
        <w:pStyle w:val="BodyText"/>
        <w:rPr>
          <w:b/>
          <w:sz w:val="22"/>
          <w:szCs w:val="22"/>
        </w:rPr>
      </w:pPr>
    </w:p>
    <w:p w14:paraId="55032846" w14:textId="6FB06922" w:rsidR="0069426F" w:rsidRPr="000A0973" w:rsidRDefault="00EE4F32" w:rsidP="000A0973">
      <w:pPr>
        <w:pStyle w:val="BodyText"/>
        <w:ind w:firstLine="100"/>
        <w:rPr>
          <w:b/>
          <w:sz w:val="22"/>
          <w:szCs w:val="22"/>
          <w:u w:val="single"/>
        </w:rPr>
      </w:pPr>
      <w:r w:rsidRPr="000A0973">
        <w:rPr>
          <w:b/>
          <w:sz w:val="22"/>
          <w:szCs w:val="22"/>
          <w:u w:val="single"/>
        </w:rPr>
        <w:t xml:space="preserve">Discussion </w:t>
      </w:r>
    </w:p>
    <w:p w14:paraId="5DBE41D3" w14:textId="77777777" w:rsidR="00EE4F32" w:rsidRPr="000A0973" w:rsidRDefault="00EE4F32" w:rsidP="000A0973">
      <w:pPr>
        <w:pStyle w:val="BodyText"/>
        <w:rPr>
          <w:b/>
          <w:sz w:val="22"/>
          <w:szCs w:val="22"/>
          <w:u w:val="single"/>
        </w:rPr>
      </w:pPr>
    </w:p>
    <w:p w14:paraId="790EE603" w14:textId="77777777" w:rsidR="000A0973" w:rsidRDefault="000A0973" w:rsidP="000A0973">
      <w:pPr>
        <w:ind w:left="100"/>
      </w:pPr>
      <w:r>
        <w:t xml:space="preserve">11 May - </w:t>
      </w:r>
      <w:r w:rsidR="00C75F2D" w:rsidRPr="000A0973">
        <w:t>U</w:t>
      </w:r>
      <w:r w:rsidR="00956522" w:rsidRPr="000A0973">
        <w:t xml:space="preserve">nits 11 and 12 </w:t>
      </w:r>
      <w:r>
        <w:t xml:space="preserve">were taken OOS </w:t>
      </w:r>
      <w:r w:rsidR="00956522" w:rsidRPr="000A0973">
        <w:t xml:space="preserve">to repair </w:t>
      </w:r>
      <w:r>
        <w:t xml:space="preserve">a leaking accumulator isolation valve in </w:t>
      </w:r>
      <w:r w:rsidR="00956522" w:rsidRPr="000A0973">
        <w:t>U12</w:t>
      </w:r>
      <w:r>
        <w:t>.</w:t>
      </w:r>
      <w:r w:rsidR="00956522" w:rsidRPr="000A0973">
        <w:t xml:space="preserve"> </w:t>
      </w:r>
      <w:r>
        <w:t xml:space="preserve"> </w:t>
      </w:r>
      <w:r w:rsidR="00956522" w:rsidRPr="000A0973">
        <w:t xml:space="preserve">The leak </w:t>
      </w:r>
      <w:r>
        <w:t xml:space="preserve">in U12 </w:t>
      </w:r>
      <w:r w:rsidR="00956522" w:rsidRPr="000A0973">
        <w:t xml:space="preserve">caused the U11 accumulator isolation valve to stick. </w:t>
      </w:r>
    </w:p>
    <w:p w14:paraId="12CD002C" w14:textId="77777777" w:rsidR="000A0973" w:rsidRDefault="000A0973" w:rsidP="000A0973">
      <w:pPr>
        <w:ind w:left="100"/>
      </w:pPr>
    </w:p>
    <w:p w14:paraId="3913DE31" w14:textId="4B9AF59A" w:rsidR="00F43AE6" w:rsidRPr="000A0973" w:rsidRDefault="00956522" w:rsidP="000A0973">
      <w:pPr>
        <w:ind w:left="100"/>
      </w:pPr>
      <w:r w:rsidRPr="000A0973">
        <w:t xml:space="preserve">Repairs to U12 should alleviate pressure </w:t>
      </w:r>
      <w:r w:rsidR="00C75F2D" w:rsidRPr="000A0973">
        <w:t xml:space="preserve">allowing </w:t>
      </w:r>
      <w:r w:rsidRPr="000A0973">
        <w:t xml:space="preserve">U11 to </w:t>
      </w:r>
      <w:r w:rsidR="00EE4F32" w:rsidRPr="000A0973">
        <w:t>function</w:t>
      </w:r>
      <w:r w:rsidRPr="000A0973">
        <w:t xml:space="preserve"> as intended. </w:t>
      </w:r>
      <w:r w:rsidR="000A0973">
        <w:t xml:space="preserve"> Typically</w:t>
      </w:r>
      <w:r w:rsidR="00F43AE6" w:rsidRPr="000A0973">
        <w:t>,</w:t>
      </w:r>
      <w:r w:rsidRPr="000A0973">
        <w:t xml:space="preserve"> this </w:t>
      </w:r>
      <w:r w:rsidR="000A0973">
        <w:t>action</w:t>
      </w:r>
      <w:r w:rsidRPr="000A0973">
        <w:t xml:space="preserve"> would require </w:t>
      </w:r>
      <w:r w:rsidR="00EE4F32" w:rsidRPr="000A0973">
        <w:t>all</w:t>
      </w:r>
      <w:r w:rsidRPr="000A0973">
        <w:t xml:space="preserve"> the units north of U12 to be taken OOS</w:t>
      </w:r>
      <w:r w:rsidR="00F43AE6" w:rsidRPr="000A0973">
        <w:t>. Bonneville mechanics arranged to isolate pressure headers between U12-13 to avoid</w:t>
      </w:r>
      <w:r w:rsidR="00EE4F32" w:rsidRPr="000A0973">
        <w:t xml:space="preserve"> more</w:t>
      </w:r>
      <w:r w:rsidR="00F43AE6" w:rsidRPr="000A0973">
        <w:t xml:space="preserve"> units being forced OOS</w:t>
      </w:r>
      <w:r w:rsidR="00EE4F32" w:rsidRPr="000A0973">
        <w:t xml:space="preserve"> than necessary</w:t>
      </w:r>
      <w:r w:rsidR="00F43AE6" w:rsidRPr="000A0973">
        <w:t xml:space="preserve">. </w:t>
      </w:r>
      <w:r w:rsidRPr="000A0973">
        <w:t xml:space="preserve"> </w:t>
      </w:r>
      <w:r w:rsidR="00F43AE6" w:rsidRPr="000A0973">
        <w:t xml:space="preserve">Length of repairs are approximately 5 hours to complete, and units will be returned to service the same day. </w:t>
      </w:r>
    </w:p>
    <w:p w14:paraId="2A039081" w14:textId="65CB80B9" w:rsidR="00271839" w:rsidRPr="000A0973" w:rsidRDefault="00271839" w:rsidP="000A0973">
      <w:pPr>
        <w:ind w:left="100"/>
      </w:pPr>
    </w:p>
    <w:p w14:paraId="4B162D92" w14:textId="6205C48D" w:rsidR="00271839" w:rsidRPr="000A0973" w:rsidRDefault="00271839" w:rsidP="000A0973">
      <w:pPr>
        <w:ind w:left="100"/>
      </w:pPr>
      <w:r w:rsidRPr="000A0973">
        <w:t>Repairs were made successfully. Unit 11 returned to service at 1402 and Unit 12 returned to service at 1409</w:t>
      </w:r>
      <w:r w:rsidR="00B227FF" w:rsidRPr="000A0973">
        <w:t xml:space="preserve"> on 11 </w:t>
      </w:r>
      <w:proofErr w:type="gramStart"/>
      <w:r w:rsidR="00B227FF" w:rsidRPr="000A0973">
        <w:t>May.</w:t>
      </w:r>
      <w:r w:rsidRPr="000A0973">
        <w:t>.</w:t>
      </w:r>
      <w:proofErr w:type="gramEnd"/>
      <w:r w:rsidRPr="000A0973">
        <w:t xml:space="preserve"> Work is complete.</w:t>
      </w:r>
    </w:p>
    <w:p w14:paraId="21A97EB9" w14:textId="4BA34CBD" w:rsidR="00EE4F32" w:rsidRPr="000A0973" w:rsidRDefault="00EE4F32" w:rsidP="000A0973">
      <w:pPr>
        <w:ind w:left="100"/>
      </w:pPr>
    </w:p>
    <w:p w14:paraId="52C3BE4F" w14:textId="4605D7AC" w:rsidR="00A67391" w:rsidRPr="000A0973" w:rsidRDefault="00A67391" w:rsidP="000A0973">
      <w:pPr>
        <w:ind w:left="100"/>
        <w:rPr>
          <w:b/>
          <w:bCs/>
          <w:u w:val="single"/>
        </w:rPr>
      </w:pPr>
      <w:r w:rsidRPr="000A0973">
        <w:rPr>
          <w:b/>
          <w:bCs/>
          <w:u w:val="single"/>
        </w:rPr>
        <w:t>Fish Impacts</w:t>
      </w:r>
    </w:p>
    <w:p w14:paraId="4082BF02" w14:textId="77777777" w:rsidR="00A67391" w:rsidRPr="000A0973" w:rsidRDefault="00A67391" w:rsidP="000A0973">
      <w:pPr>
        <w:ind w:left="100"/>
        <w:rPr>
          <w:b/>
          <w:bCs/>
          <w:u w:val="single"/>
        </w:rPr>
      </w:pPr>
    </w:p>
    <w:p w14:paraId="5CBFA988" w14:textId="089AC0B9" w:rsidR="00A67391" w:rsidRPr="000A0973" w:rsidRDefault="000A0973" w:rsidP="000A0973">
      <w:pPr>
        <w:ind w:left="100"/>
      </w:pPr>
      <w:r>
        <w:t>FPP unit priority will not be met during the outage, however, all fish passage facilities remained in service.</w:t>
      </w:r>
      <w:r w:rsidR="00A67391" w:rsidRPr="000A0973">
        <w:t xml:space="preserve"> </w:t>
      </w:r>
    </w:p>
    <w:p w14:paraId="508147A8" w14:textId="77777777" w:rsidR="00A67391" w:rsidRPr="000A0973" w:rsidRDefault="00A67391" w:rsidP="000A0973">
      <w:pPr>
        <w:ind w:left="100"/>
      </w:pPr>
    </w:p>
    <w:p w14:paraId="64852DE8" w14:textId="33E027BD" w:rsidR="00A67391" w:rsidRPr="000A0973" w:rsidRDefault="0024456A" w:rsidP="000A0973">
      <w:pPr>
        <w:ind w:left="100"/>
      </w:pPr>
      <w:r w:rsidRPr="000A0973">
        <w:t>G</w:t>
      </w:r>
      <w:r w:rsidR="00A67391" w:rsidRPr="000A0973">
        <w:t>atewell orifices</w:t>
      </w:r>
      <w:r w:rsidRPr="000A0973">
        <w:t xml:space="preserve"> of U11 and U12</w:t>
      </w:r>
      <w:r w:rsidR="00A67391" w:rsidRPr="000A0973">
        <w:t xml:space="preserve"> will be unavailable which may affect downstream juvenile</w:t>
      </w:r>
      <w:r w:rsidRPr="000A0973">
        <w:t xml:space="preserve"> passage. All other PH2 units (with exception of U17 FGE work) gatewell orifices will be available</w:t>
      </w:r>
      <w:r w:rsidR="001465AF" w:rsidRPr="000A0973">
        <w:t>.</w:t>
      </w:r>
      <w:r w:rsidRPr="000A0973">
        <w:t xml:space="preserve"> </w:t>
      </w:r>
    </w:p>
    <w:tbl>
      <w:tblPr>
        <w:tblpPr w:leftFromText="180" w:rightFromText="180" w:vertAnchor="text" w:horzAnchor="margin" w:tblpY="837"/>
        <w:tblW w:w="8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4"/>
        <w:gridCol w:w="4441"/>
      </w:tblGrid>
      <w:tr w:rsidR="001465AF" w:rsidRPr="000A0973" w14:paraId="2041A004" w14:textId="77777777" w:rsidTr="001465AF">
        <w:trPr>
          <w:cantSplit/>
          <w:trHeight w:val="194"/>
        </w:trPr>
        <w:tc>
          <w:tcPr>
            <w:tcW w:w="4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069654" w14:textId="77777777" w:rsidR="001465AF" w:rsidRPr="000A0973" w:rsidRDefault="001465AF" w:rsidP="000A0973">
            <w:pPr>
              <w:pStyle w:val="Heading2"/>
              <w:numPr>
                <w:ilvl w:val="0"/>
                <w:numId w:val="0"/>
              </w:numPr>
              <w:spacing w:before="0" w:after="0"/>
              <w:ind w:left="576" w:hanging="576"/>
              <w:jc w:val="center"/>
              <w:rPr>
                <w:rFonts w:cs="Times New Roman"/>
                <w:iCs w:val="0"/>
                <w:sz w:val="22"/>
                <w:szCs w:val="22"/>
              </w:rPr>
            </w:pPr>
            <w:r w:rsidRPr="000A0973">
              <w:rPr>
                <w:rFonts w:cs="Times New Roman"/>
                <w:iCs w:val="0"/>
                <w:sz w:val="22"/>
                <w:szCs w:val="22"/>
              </w:rPr>
              <w:t>PERIOD / OPERATION</w:t>
            </w:r>
          </w:p>
        </w:tc>
        <w:tc>
          <w:tcPr>
            <w:tcW w:w="44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42C1CF7C" w14:textId="77777777" w:rsidR="001465AF" w:rsidRPr="000A0973" w:rsidRDefault="001465AF" w:rsidP="000A0973">
            <w:pPr>
              <w:pStyle w:val="Heading2"/>
              <w:numPr>
                <w:ilvl w:val="0"/>
                <w:numId w:val="0"/>
              </w:numPr>
              <w:spacing w:before="0" w:after="0"/>
              <w:ind w:left="576" w:hanging="576"/>
              <w:jc w:val="center"/>
              <w:rPr>
                <w:rFonts w:cs="Times New Roman"/>
                <w:iCs w:val="0"/>
                <w:sz w:val="22"/>
                <w:szCs w:val="22"/>
              </w:rPr>
            </w:pPr>
            <w:r w:rsidRPr="000A0973">
              <w:rPr>
                <w:rFonts w:cs="Times New Roman"/>
                <w:iCs w:val="0"/>
                <w:sz w:val="22"/>
                <w:szCs w:val="22"/>
              </w:rPr>
              <w:t>UNIT PRIORITY ORDER</w:t>
            </w:r>
          </w:p>
        </w:tc>
      </w:tr>
      <w:tr w:rsidR="001465AF" w:rsidRPr="000A0973" w14:paraId="064EFFA6" w14:textId="77777777" w:rsidTr="001465AF">
        <w:trPr>
          <w:cantSplit/>
          <w:trHeight w:val="520"/>
        </w:trPr>
        <w:tc>
          <w:tcPr>
            <w:tcW w:w="43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765F" w14:textId="77777777" w:rsidR="001465AF" w:rsidRPr="000A0973" w:rsidRDefault="001465AF" w:rsidP="000A0973">
            <w:pPr>
              <w:keepNext/>
              <w:jc w:val="center"/>
            </w:pPr>
            <w:r w:rsidRPr="000A0973">
              <w:t xml:space="preserve">Year-Round: </w:t>
            </w:r>
          </w:p>
          <w:p w14:paraId="105DE7D7" w14:textId="77777777" w:rsidR="001465AF" w:rsidRPr="000A0973" w:rsidRDefault="001465AF" w:rsidP="000A0973">
            <w:pPr>
              <w:keepNext/>
              <w:jc w:val="center"/>
            </w:pPr>
            <w:r w:rsidRPr="000A0973">
              <w:t>Fish Ladders in service; PH1 Ladder out of service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93E7F6" w14:textId="77777777" w:rsidR="001465AF" w:rsidRPr="000A0973" w:rsidRDefault="001465AF" w:rsidP="000A0973">
            <w:pPr>
              <w:keepNext/>
            </w:pPr>
            <w:r w:rsidRPr="000A0973">
              <w:rPr>
                <w:b/>
              </w:rPr>
              <w:t>PH2</w:t>
            </w:r>
            <w:r w:rsidRPr="000A0973">
              <w:t xml:space="preserve">: 11, 18, 12, 17, 13, 14, 15, 16, </w:t>
            </w:r>
          </w:p>
          <w:p w14:paraId="2E36C5CC" w14:textId="77777777" w:rsidR="001465AF" w:rsidRPr="000A0973" w:rsidRDefault="001465AF" w:rsidP="000A0973">
            <w:pPr>
              <w:keepNext/>
            </w:pPr>
            <w:r w:rsidRPr="000A0973">
              <w:rPr>
                <w:b/>
              </w:rPr>
              <w:t>Then</w:t>
            </w:r>
            <w:r w:rsidRPr="000A0973">
              <w:t xml:space="preserve"> </w:t>
            </w:r>
            <w:r w:rsidRPr="000A0973">
              <w:rPr>
                <w:b/>
              </w:rPr>
              <w:t>PH1</w:t>
            </w:r>
            <w:r w:rsidRPr="000A0973">
              <w:t>: 1, 10, 3, 6, 9, 4, 5, 8, 7, 2</w:t>
            </w:r>
          </w:p>
        </w:tc>
      </w:tr>
      <w:tr w:rsidR="001465AF" w:rsidRPr="000A0973" w14:paraId="5D14DF5E" w14:textId="77777777" w:rsidTr="001465AF">
        <w:trPr>
          <w:cantSplit/>
          <w:trHeight w:val="527"/>
        </w:trPr>
        <w:tc>
          <w:tcPr>
            <w:tcW w:w="4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B2434C" w14:textId="77777777" w:rsidR="001465AF" w:rsidRPr="000A0973" w:rsidRDefault="001465AF" w:rsidP="000A0973">
            <w:pPr>
              <w:keepNext/>
              <w:jc w:val="center"/>
              <w:rPr>
                <w:bCs/>
              </w:rPr>
            </w:pPr>
            <w:r w:rsidRPr="000A0973">
              <w:rPr>
                <w:bCs/>
              </w:rPr>
              <w:t>PH2 Fish Ladder out of service</w:t>
            </w:r>
          </w:p>
        </w:tc>
        <w:tc>
          <w:tcPr>
            <w:tcW w:w="44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CC72BC" w14:textId="77777777" w:rsidR="001465AF" w:rsidRPr="000A0973" w:rsidRDefault="001465AF" w:rsidP="000A0973">
            <w:pPr>
              <w:keepNext/>
            </w:pPr>
            <w:r w:rsidRPr="000A0973">
              <w:rPr>
                <w:b/>
              </w:rPr>
              <w:t>PH1</w:t>
            </w:r>
            <w:r w:rsidRPr="000A0973">
              <w:t xml:space="preserve">: 1, 10, 3, 6, 9, 4, 5, 8, 7, 2, </w:t>
            </w:r>
          </w:p>
          <w:p w14:paraId="025A4BA6" w14:textId="77777777" w:rsidR="001465AF" w:rsidRPr="000A0973" w:rsidRDefault="001465AF" w:rsidP="000A0973">
            <w:pPr>
              <w:keepNext/>
            </w:pPr>
            <w:r w:rsidRPr="000A0973">
              <w:rPr>
                <w:b/>
              </w:rPr>
              <w:t>Then</w:t>
            </w:r>
            <w:r w:rsidRPr="000A0973">
              <w:t xml:space="preserve"> </w:t>
            </w:r>
            <w:r w:rsidRPr="000A0973">
              <w:rPr>
                <w:b/>
              </w:rPr>
              <w:t>PH2</w:t>
            </w:r>
            <w:r w:rsidRPr="000A0973">
              <w:t>: 11, 18, 12, 17, 13, 14, 15, 16</w:t>
            </w:r>
          </w:p>
        </w:tc>
      </w:tr>
      <w:tr w:rsidR="001465AF" w:rsidRPr="000A0973" w14:paraId="48867E02" w14:textId="77777777" w:rsidTr="001465AF">
        <w:trPr>
          <w:cantSplit/>
          <w:trHeight w:val="709"/>
        </w:trPr>
        <w:tc>
          <w:tcPr>
            <w:tcW w:w="4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C9FE9C" w14:textId="77777777" w:rsidR="001465AF" w:rsidRPr="000A0973" w:rsidRDefault="001465AF" w:rsidP="000A0973">
            <w:pPr>
              <w:keepNext/>
              <w:jc w:val="center"/>
              <w:rPr>
                <w:bCs/>
              </w:rPr>
            </w:pPr>
            <w:r w:rsidRPr="000A0973">
              <w:rPr>
                <w:bCs/>
              </w:rPr>
              <w:t xml:space="preserve">Split Flows </w:t>
            </w:r>
          </w:p>
          <w:p w14:paraId="5439488A" w14:textId="77777777" w:rsidR="001465AF" w:rsidRPr="000A0973" w:rsidRDefault="001465AF" w:rsidP="000A0973">
            <w:pPr>
              <w:keepNext/>
              <w:jc w:val="center"/>
              <w:rPr>
                <w:bCs/>
              </w:rPr>
            </w:pPr>
            <w:r w:rsidRPr="000A0973">
              <w:rPr>
                <w:bCs/>
              </w:rPr>
              <w:t>(</w:t>
            </w:r>
            <w:proofErr w:type="gramStart"/>
            <w:r w:rsidRPr="000A0973">
              <w:rPr>
                <w:bCs/>
              </w:rPr>
              <w:t>see</w:t>
            </w:r>
            <w:proofErr w:type="gramEnd"/>
            <w:r w:rsidRPr="000A0973">
              <w:rPr>
                <w:bCs/>
              </w:rPr>
              <w:t xml:space="preserve"> </w:t>
            </w:r>
            <w:r w:rsidRPr="000A0973">
              <w:rPr>
                <w:b/>
                <w:bCs/>
              </w:rPr>
              <w:t xml:space="preserve">section </w:t>
            </w:r>
            <w:r w:rsidRPr="000A0973">
              <w:rPr>
                <w:b/>
                <w:bCs/>
              </w:rPr>
              <w:fldChar w:fldCharType="begin"/>
            </w:r>
            <w:r w:rsidRPr="000A0973">
              <w:rPr>
                <w:b/>
                <w:bCs/>
              </w:rPr>
              <w:instrText xml:space="preserve"> REF _Ref441846091 \r \h  \* MERGEFORMAT </w:instrText>
            </w:r>
            <w:r w:rsidRPr="000A0973">
              <w:rPr>
                <w:b/>
                <w:bCs/>
              </w:rPr>
            </w:r>
            <w:r w:rsidRPr="000A0973">
              <w:rPr>
                <w:b/>
                <w:bCs/>
              </w:rPr>
              <w:fldChar w:fldCharType="separate"/>
            </w:r>
            <w:r w:rsidRPr="000A0973">
              <w:rPr>
                <w:b/>
                <w:bCs/>
              </w:rPr>
              <w:t>2.1.5</w:t>
            </w:r>
            <w:r w:rsidRPr="000A0973">
              <w:rPr>
                <w:b/>
                <w:bCs/>
              </w:rPr>
              <w:fldChar w:fldCharType="end"/>
            </w:r>
            <w:r w:rsidRPr="000A0973">
              <w:rPr>
                <w:bCs/>
              </w:rPr>
              <w:t>)</w:t>
            </w:r>
          </w:p>
        </w:tc>
        <w:tc>
          <w:tcPr>
            <w:tcW w:w="44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A0B3DE" w14:textId="77777777" w:rsidR="001465AF" w:rsidRPr="000A0973" w:rsidRDefault="001465AF" w:rsidP="000A0973">
            <w:pPr>
              <w:keepNext/>
            </w:pPr>
            <w:r w:rsidRPr="000A0973">
              <w:rPr>
                <w:b/>
              </w:rPr>
              <w:t>PH1</w:t>
            </w:r>
            <w:r w:rsidRPr="000A0973">
              <w:t xml:space="preserve">: 1, 10 (or top two available PH1 priority units), </w:t>
            </w:r>
          </w:p>
          <w:p w14:paraId="14212E68" w14:textId="77777777" w:rsidR="001465AF" w:rsidRPr="000A0973" w:rsidRDefault="001465AF" w:rsidP="000A0973">
            <w:pPr>
              <w:keepNext/>
            </w:pPr>
            <w:r w:rsidRPr="000A0973">
              <w:rPr>
                <w:b/>
              </w:rPr>
              <w:t>Then PH2</w:t>
            </w:r>
            <w:r w:rsidRPr="000A0973">
              <w:t xml:space="preserve">: 11, 18, 12, 17, 13, 14, 15, 16, </w:t>
            </w:r>
          </w:p>
          <w:p w14:paraId="57FE0EB1" w14:textId="77777777" w:rsidR="001465AF" w:rsidRPr="000A0973" w:rsidRDefault="001465AF" w:rsidP="000A0973">
            <w:pPr>
              <w:keepNext/>
            </w:pPr>
            <w:r w:rsidRPr="000A0973">
              <w:rPr>
                <w:b/>
              </w:rPr>
              <w:t>Then</w:t>
            </w:r>
            <w:r w:rsidRPr="000A0973">
              <w:t xml:space="preserve"> </w:t>
            </w:r>
            <w:r w:rsidRPr="000A0973">
              <w:rPr>
                <w:b/>
              </w:rPr>
              <w:t>PH1:</w:t>
            </w:r>
            <w:r w:rsidRPr="000A0973">
              <w:t xml:space="preserve"> 3, 6, 9, 4, 5, 8, 7, 2</w:t>
            </w:r>
          </w:p>
        </w:tc>
      </w:tr>
      <w:tr w:rsidR="001465AF" w:rsidRPr="000A0973" w14:paraId="37128F98" w14:textId="77777777" w:rsidTr="001465AF">
        <w:trPr>
          <w:cantSplit/>
          <w:trHeight w:val="283"/>
        </w:trPr>
        <w:tc>
          <w:tcPr>
            <w:tcW w:w="4324" w:type="dxa"/>
            <w:tcBorders>
              <w:top w:val="single" w:sz="12" w:space="0" w:color="auto"/>
              <w:left w:val="single" w:sz="12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6A9CE72B" w14:textId="77777777" w:rsidR="001465AF" w:rsidRPr="000A0973" w:rsidRDefault="001465AF" w:rsidP="000A0973">
            <w:pPr>
              <w:keepNext/>
              <w:jc w:val="center"/>
              <w:rPr>
                <w:bCs/>
              </w:rPr>
            </w:pPr>
            <w:r w:rsidRPr="000A0973">
              <w:rPr>
                <w:bCs/>
              </w:rPr>
              <w:t xml:space="preserve">PH1 Unit Priority </w:t>
            </w:r>
          </w:p>
        </w:tc>
        <w:tc>
          <w:tcPr>
            <w:tcW w:w="4441" w:type="dxa"/>
            <w:tcBorders>
              <w:top w:val="single" w:sz="12" w:space="0" w:color="auto"/>
              <w:left w:val="single" w:sz="4" w:space="0" w:color="auto"/>
              <w:bottom w:val="single" w:sz="4" w:space="0" w:color="808080"/>
              <w:right w:val="single" w:sz="12" w:space="0" w:color="auto"/>
            </w:tcBorders>
            <w:vAlign w:val="center"/>
            <w:hideMark/>
          </w:tcPr>
          <w:p w14:paraId="205D51A9" w14:textId="77777777" w:rsidR="001465AF" w:rsidRPr="000A0973" w:rsidRDefault="001465AF" w:rsidP="000A0973">
            <w:pPr>
              <w:keepNext/>
            </w:pPr>
            <w:r w:rsidRPr="000A0973">
              <w:t>1, 10, 3, 6, 9, 4, 5, 8, 7, 2</w:t>
            </w:r>
          </w:p>
        </w:tc>
      </w:tr>
      <w:tr w:rsidR="001465AF" w:rsidRPr="000A0973" w14:paraId="0D28A1FC" w14:textId="77777777" w:rsidTr="001465AF">
        <w:trPr>
          <w:cantSplit/>
          <w:trHeight w:val="297"/>
        </w:trPr>
        <w:tc>
          <w:tcPr>
            <w:tcW w:w="4324" w:type="dxa"/>
            <w:tcBorders>
              <w:top w:val="single" w:sz="4" w:space="0" w:color="80808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1B93D5" w14:textId="77777777" w:rsidR="001465AF" w:rsidRPr="000A0973" w:rsidRDefault="001465AF" w:rsidP="000A0973">
            <w:pPr>
              <w:jc w:val="center"/>
              <w:rPr>
                <w:bCs/>
              </w:rPr>
            </w:pPr>
            <w:r w:rsidRPr="000A0973">
              <w:rPr>
                <w:bCs/>
              </w:rPr>
              <w:t xml:space="preserve">PH2 Unit Priority </w:t>
            </w:r>
          </w:p>
        </w:tc>
        <w:tc>
          <w:tcPr>
            <w:tcW w:w="4441" w:type="dxa"/>
            <w:tcBorders>
              <w:top w:val="single" w:sz="4" w:space="0" w:color="80808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033582" w14:textId="77777777" w:rsidR="001465AF" w:rsidRPr="000A0973" w:rsidRDefault="001465AF" w:rsidP="000A0973">
            <w:r w:rsidRPr="000A0973">
              <w:t>11, 18, 12, 17, 13, 14, 15, 16</w:t>
            </w:r>
          </w:p>
        </w:tc>
      </w:tr>
    </w:tbl>
    <w:p w14:paraId="6E56B13C" w14:textId="0EDA2AEF" w:rsidR="00A67391" w:rsidRPr="000A0973" w:rsidRDefault="00A67391" w:rsidP="000A0973">
      <w:pPr>
        <w:ind w:left="100"/>
      </w:pPr>
    </w:p>
    <w:p w14:paraId="3FE2468A" w14:textId="77777777" w:rsidR="00A67391" w:rsidRPr="000A0973" w:rsidRDefault="00A67391" w:rsidP="000A0973">
      <w:pPr>
        <w:pStyle w:val="Caption"/>
        <w:rPr>
          <w:sz w:val="22"/>
          <w:szCs w:val="22"/>
        </w:rPr>
      </w:pPr>
      <w:bookmarkStart w:id="0" w:name="_Ref441844117"/>
      <w:r w:rsidRPr="000A0973">
        <w:rPr>
          <w:sz w:val="22"/>
          <w:szCs w:val="22"/>
        </w:rPr>
        <w:t>Table BON-</w:t>
      </w:r>
      <w:r w:rsidRPr="000A0973">
        <w:rPr>
          <w:noProof/>
          <w:sz w:val="22"/>
          <w:szCs w:val="22"/>
        </w:rPr>
        <w:fldChar w:fldCharType="begin"/>
      </w:r>
      <w:r w:rsidRPr="000A0973">
        <w:rPr>
          <w:noProof/>
          <w:sz w:val="22"/>
          <w:szCs w:val="22"/>
        </w:rPr>
        <w:instrText xml:space="preserve"> SEQ Table_BON- \* ARABIC </w:instrText>
      </w:r>
      <w:r w:rsidRPr="000A0973">
        <w:rPr>
          <w:noProof/>
          <w:sz w:val="22"/>
          <w:szCs w:val="22"/>
        </w:rPr>
        <w:fldChar w:fldCharType="separate"/>
      </w:r>
      <w:r w:rsidRPr="000A0973">
        <w:rPr>
          <w:noProof/>
          <w:sz w:val="22"/>
          <w:szCs w:val="22"/>
        </w:rPr>
        <w:t>13</w:t>
      </w:r>
      <w:r w:rsidRPr="000A0973">
        <w:rPr>
          <w:noProof/>
          <w:sz w:val="22"/>
          <w:szCs w:val="22"/>
        </w:rPr>
        <w:fldChar w:fldCharType="end"/>
      </w:r>
      <w:bookmarkEnd w:id="0"/>
      <w:r w:rsidRPr="000A0973">
        <w:rPr>
          <w:sz w:val="22"/>
          <w:szCs w:val="22"/>
        </w:rPr>
        <w:t>. Bonneville Dam Turbine Unit Priority Order.</w:t>
      </w:r>
    </w:p>
    <w:p w14:paraId="25A4DA9A" w14:textId="77777777" w:rsidR="0069426F" w:rsidRPr="000A0973" w:rsidRDefault="0069426F" w:rsidP="000A0973">
      <w:pPr>
        <w:pStyle w:val="BodyText"/>
        <w:rPr>
          <w:sz w:val="22"/>
          <w:szCs w:val="22"/>
        </w:rPr>
      </w:pPr>
    </w:p>
    <w:p w14:paraId="406310B9" w14:textId="77777777" w:rsidR="0069426F" w:rsidRPr="000A0973" w:rsidRDefault="0069426F" w:rsidP="000A0973">
      <w:pPr>
        <w:pStyle w:val="BodyText"/>
        <w:rPr>
          <w:sz w:val="22"/>
          <w:szCs w:val="22"/>
        </w:rPr>
      </w:pPr>
    </w:p>
    <w:p w14:paraId="653E887E" w14:textId="77777777" w:rsidR="000A0973" w:rsidRDefault="000A0973" w:rsidP="000A0973">
      <w:pPr>
        <w:pStyle w:val="BodyText"/>
        <w:spacing w:line="278" w:lineRule="auto"/>
        <w:ind w:left="100" w:right="105"/>
        <w:jc w:val="right"/>
        <w:rPr>
          <w:spacing w:val="-1"/>
          <w:sz w:val="22"/>
          <w:szCs w:val="22"/>
        </w:rPr>
      </w:pPr>
    </w:p>
    <w:p w14:paraId="4C3BAC37" w14:textId="77777777" w:rsidR="000A0973" w:rsidRDefault="000A0973" w:rsidP="000A0973">
      <w:pPr>
        <w:pStyle w:val="BodyText"/>
        <w:spacing w:line="278" w:lineRule="auto"/>
        <w:ind w:left="100" w:right="105"/>
        <w:jc w:val="right"/>
        <w:rPr>
          <w:spacing w:val="-1"/>
          <w:sz w:val="22"/>
          <w:szCs w:val="22"/>
        </w:rPr>
      </w:pPr>
    </w:p>
    <w:p w14:paraId="1BC33E98" w14:textId="2B0725A3" w:rsidR="000A0973" w:rsidRPr="000A0973" w:rsidRDefault="001465AF" w:rsidP="000A0973">
      <w:pPr>
        <w:pStyle w:val="BodyText"/>
        <w:spacing w:line="278" w:lineRule="auto"/>
        <w:ind w:left="100" w:right="105"/>
        <w:jc w:val="right"/>
        <w:rPr>
          <w:spacing w:val="-1"/>
          <w:sz w:val="22"/>
          <w:szCs w:val="22"/>
        </w:rPr>
      </w:pPr>
      <w:r w:rsidRPr="000A0973">
        <w:rPr>
          <w:spacing w:val="-1"/>
          <w:sz w:val="22"/>
          <w:szCs w:val="22"/>
        </w:rPr>
        <w:t>Sincerely,</w:t>
      </w:r>
    </w:p>
    <w:p w14:paraId="146207A1" w14:textId="69B8B53B" w:rsidR="0069426F" w:rsidRPr="000A0973" w:rsidRDefault="000A0973" w:rsidP="000A0973">
      <w:pPr>
        <w:pStyle w:val="BodyText"/>
        <w:spacing w:line="278" w:lineRule="auto"/>
        <w:ind w:left="100" w:right="105"/>
        <w:jc w:val="right"/>
        <w:rPr>
          <w:sz w:val="22"/>
          <w:szCs w:val="22"/>
        </w:rPr>
      </w:pPr>
      <w:proofErr w:type="gramStart"/>
      <w:r w:rsidRPr="000A0973">
        <w:rPr>
          <w:spacing w:val="-1"/>
          <w:sz w:val="22"/>
          <w:szCs w:val="22"/>
        </w:rPr>
        <w:t xml:space="preserve">BON </w:t>
      </w:r>
      <w:r w:rsidR="001465AF" w:rsidRPr="000A0973">
        <w:rPr>
          <w:spacing w:val="-57"/>
          <w:sz w:val="22"/>
          <w:szCs w:val="22"/>
        </w:rPr>
        <w:t xml:space="preserve"> </w:t>
      </w:r>
      <w:r w:rsidR="001465AF" w:rsidRPr="000A0973">
        <w:rPr>
          <w:spacing w:val="-1"/>
          <w:sz w:val="22"/>
          <w:szCs w:val="22"/>
        </w:rPr>
        <w:t>Project</w:t>
      </w:r>
      <w:proofErr w:type="gramEnd"/>
      <w:r w:rsidR="001465AF" w:rsidRPr="000A0973">
        <w:rPr>
          <w:spacing w:val="-10"/>
          <w:sz w:val="22"/>
          <w:szCs w:val="22"/>
        </w:rPr>
        <w:t xml:space="preserve"> </w:t>
      </w:r>
      <w:r w:rsidR="001465AF" w:rsidRPr="000A0973">
        <w:rPr>
          <w:sz w:val="22"/>
          <w:szCs w:val="22"/>
        </w:rPr>
        <w:t>Fisheries</w:t>
      </w:r>
    </w:p>
    <w:p w14:paraId="2323077A" w14:textId="5BD9CEC8" w:rsidR="00271839" w:rsidRPr="000A0973" w:rsidRDefault="00271839" w:rsidP="000A0973">
      <w:pPr>
        <w:pStyle w:val="BodyText"/>
        <w:spacing w:line="278" w:lineRule="auto"/>
        <w:ind w:left="100" w:right="105" w:firstLine="640"/>
        <w:jc w:val="right"/>
        <w:rPr>
          <w:sz w:val="22"/>
          <w:szCs w:val="22"/>
        </w:rPr>
      </w:pPr>
    </w:p>
    <w:p w14:paraId="627C7678" w14:textId="21491AA0" w:rsidR="00271839" w:rsidRPr="000A0973" w:rsidRDefault="00271839" w:rsidP="000A0973"/>
    <w:sectPr w:rsidR="00271839" w:rsidRPr="000A0973" w:rsidSect="000A0973">
      <w:type w:val="continuous"/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D480E"/>
    <w:multiLevelType w:val="multilevel"/>
    <w:tmpl w:val="22C2DEF6"/>
    <w:lvl w:ilvl="0">
      <w:start w:val="2"/>
      <w:numFmt w:val="decimal"/>
      <w:pStyle w:val="Heading1"/>
      <w:lvlText w:val="Section %1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suff w:val="space"/>
      <w:lvlText w:val="%2.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2">
      <w:start w:val="1"/>
      <w:numFmt w:val="decimal"/>
      <w:pStyle w:val="Heading3"/>
      <w:suff w:val="space"/>
      <w:lvlText w:val="%2.%3.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3">
      <w:start w:val="1"/>
      <w:numFmt w:val="decimal"/>
      <w:pStyle w:val="Heading4"/>
      <w:suff w:val="space"/>
      <w:lvlText w:val="%2.%3.%4.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4">
      <w:start w:val="1"/>
      <w:numFmt w:val="decimal"/>
      <w:pStyle w:val="Heading5"/>
      <w:suff w:val="space"/>
      <w:lvlText w:val="%2.%3.%4.%5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6A85625"/>
    <w:multiLevelType w:val="hybridMultilevel"/>
    <w:tmpl w:val="0A10593C"/>
    <w:lvl w:ilvl="0" w:tplc="B590DC26">
      <w:start w:val="1"/>
      <w:numFmt w:val="upperLetter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2CA03A2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21FC1C0E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A4A4A00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31DE7D0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F4D2C7F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3C6EAD5A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EF38E47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85BA9252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94060622">
    <w:abstractNumId w:val="1"/>
  </w:num>
  <w:num w:numId="2" w16cid:durableId="2117093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6F"/>
    <w:rsid w:val="000A0973"/>
    <w:rsid w:val="001465AF"/>
    <w:rsid w:val="0024456A"/>
    <w:rsid w:val="00271839"/>
    <w:rsid w:val="00455395"/>
    <w:rsid w:val="0069426F"/>
    <w:rsid w:val="009147FC"/>
    <w:rsid w:val="00956522"/>
    <w:rsid w:val="00A31246"/>
    <w:rsid w:val="00A67391"/>
    <w:rsid w:val="00B227FF"/>
    <w:rsid w:val="00C60537"/>
    <w:rsid w:val="00C75F2D"/>
    <w:rsid w:val="00EE4F32"/>
    <w:rsid w:val="00F4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693D5"/>
  <w15:docId w15:val="{D1441FA1-11E2-4834-81BB-F253E0BD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7391"/>
    <w:pPr>
      <w:keepNext/>
      <w:widowControl/>
      <w:numPr>
        <w:numId w:val="2"/>
      </w:numPr>
      <w:pBdr>
        <w:top w:val="single" w:sz="4" w:space="1" w:color="auto"/>
        <w:bottom w:val="single" w:sz="4" w:space="1" w:color="auto"/>
      </w:pBdr>
      <w:autoSpaceDE/>
      <w:autoSpaceDN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7391"/>
    <w:pPr>
      <w:keepNext/>
      <w:widowControl/>
      <w:numPr>
        <w:ilvl w:val="1"/>
        <w:numId w:val="2"/>
      </w:numPr>
      <w:autoSpaceDE/>
      <w:autoSpaceDN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7391"/>
    <w:pPr>
      <w:keepNext/>
      <w:widowControl/>
      <w:numPr>
        <w:ilvl w:val="2"/>
        <w:numId w:val="2"/>
      </w:numPr>
      <w:autoSpaceDE/>
      <w:autoSpaceDN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67391"/>
    <w:pPr>
      <w:keepNext/>
      <w:widowControl/>
      <w:numPr>
        <w:ilvl w:val="3"/>
        <w:numId w:val="2"/>
      </w:numPr>
      <w:autoSpaceDE/>
      <w:autoSpaceDN/>
      <w:spacing w:before="120" w:after="60"/>
      <w:outlineLvl w:val="3"/>
    </w:pPr>
    <w:rPr>
      <w:rFonts w:cs="Arial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A67391"/>
    <w:pPr>
      <w:widowControl/>
      <w:numPr>
        <w:ilvl w:val="4"/>
        <w:numId w:val="2"/>
      </w:numPr>
      <w:autoSpaceDE/>
      <w:autoSpaceDN/>
      <w:spacing w:before="240" w:after="240"/>
      <w:outlineLvl w:val="4"/>
    </w:pPr>
    <w:rPr>
      <w:b/>
      <w:bCs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9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9"/>
    <w:rsid w:val="00A67391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A67391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A6739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A67391"/>
    <w:rPr>
      <w:rFonts w:ascii="Times New Roman" w:eastAsia="Times New Roman" w:hAnsi="Times New Roman" w:cs="Arial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A67391"/>
    <w:rPr>
      <w:rFonts w:ascii="Times New Roman" w:eastAsia="Times New Roman" w:hAnsi="Times New Roman" w:cs="Times New Roman"/>
      <w:b/>
      <w:bCs/>
      <w:iCs/>
      <w:sz w:val="24"/>
      <w:szCs w:val="26"/>
    </w:rPr>
  </w:style>
  <w:style w:type="paragraph" w:styleId="Caption">
    <w:name w:val="caption"/>
    <w:basedOn w:val="Normal"/>
    <w:next w:val="Normal"/>
    <w:qFormat/>
    <w:rsid w:val="00A67391"/>
    <w:pPr>
      <w:keepNext/>
      <w:widowControl/>
      <w:autoSpaceDE/>
      <w:autoSpaceDN/>
    </w:pPr>
    <w:rPr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 Office ProPlus Installation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g2oddrpc</dc:creator>
  <cp:lastModifiedBy>Tammy</cp:lastModifiedBy>
  <cp:revision>2</cp:revision>
  <dcterms:created xsi:type="dcterms:W3CDTF">2023-05-16T04:28:00Z</dcterms:created>
  <dcterms:modified xsi:type="dcterms:W3CDTF">2023-05-16T04:28:00Z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2022-03-03T00:00:00Z</vt:filetime>
  </property>
</Properties>
</file>